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5C7B2D">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9AB79D6" w:rsidR="00093CA9" w:rsidRDefault="00917DF4" w:rsidP="00093CA9">
            <w:r>
              <w:t>MinterEllison</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427CFD52" w:rsidR="00093CA9" w:rsidRDefault="00310C15" w:rsidP="00093CA9">
            <w:r>
              <w:t>Australia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581012A" w:rsidR="00093CA9" w:rsidRPr="00310C15" w:rsidRDefault="00565E60" w:rsidP="00310C15">
            <w:pPr>
              <w:spacing w:before="0" w:after="0"/>
              <w:rPr>
                <w:rFonts w:ascii="Aptos Narrow" w:hAnsi="Aptos Narrow"/>
                <w:color w:val="000000"/>
              </w:rPr>
            </w:pPr>
            <w:r w:rsidRPr="00565E60">
              <w:rPr>
                <w:rFonts w:ascii="Aptos Narrow" w:hAnsi="Aptos Narrow"/>
                <w:color w:val="000000"/>
              </w:rPr>
              <w:t xml:space="preserve">APRA Climate Vulnerability Assessments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6E460929" w14:textId="77777777" w:rsidR="002773A3" w:rsidRPr="002773A3" w:rsidRDefault="002773A3" w:rsidP="002773A3">
            <w:hyperlink r:id="rId19" w:history="1">
              <w:r w:rsidRPr="002773A3">
                <w:rPr>
                  <w:rStyle w:val="Hyperlink"/>
                </w:rPr>
                <w:t>Web-archived link 1</w:t>
              </w:r>
            </w:hyperlink>
          </w:p>
          <w:p w14:paraId="0FDA60A9" w14:textId="77777777" w:rsidR="002773A3" w:rsidRPr="002773A3" w:rsidRDefault="002773A3" w:rsidP="002773A3">
            <w:hyperlink r:id="rId20" w:history="1">
              <w:r w:rsidRPr="002773A3">
                <w:rPr>
                  <w:rStyle w:val="Hyperlink"/>
                </w:rPr>
                <w:t>Web-archived link 2</w:t>
              </w:r>
            </w:hyperlink>
          </w:p>
          <w:p w14:paraId="47BAE320" w14:textId="77777777" w:rsidR="002773A3" w:rsidRPr="002773A3" w:rsidRDefault="002773A3" w:rsidP="002773A3">
            <w:hyperlink r:id="rId21" w:history="1">
              <w:r w:rsidRPr="002773A3">
                <w:rPr>
                  <w:rStyle w:val="Hyperlink"/>
                </w:rPr>
                <w:t>Web-archived link 3</w:t>
              </w:r>
            </w:hyperlink>
          </w:p>
          <w:p w14:paraId="1523C232" w14:textId="67A81126" w:rsidR="00093CA9" w:rsidRDefault="002773A3" w:rsidP="002773A3">
            <w:hyperlink r:id="rId22" w:history="1">
              <w:r w:rsidRPr="002773A3">
                <w:rPr>
                  <w:rStyle w:val="Hyperlink"/>
                </w:rPr>
                <w:t>Web-archived link 4</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0BC44699"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6C4513C3" w:rsidR="00093CA9" w:rsidRDefault="00565E60"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311407B1"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D91DBFB" w:rsidR="00093CA9" w:rsidRDefault="002773A3" w:rsidP="00093CA9">
            <w:r w:rsidRPr="002773A3">
              <w:t>APRA piloted Climate Vulnerability Assessments (CVAs) with the Australia's five largest banks</w:t>
            </w:r>
            <w:r w:rsidR="006F1761">
              <w:t xml:space="preserve"> –</w:t>
            </w:r>
            <w:r w:rsidR="006F1761" w:rsidRPr="006F1761">
              <w:t xml:space="preserve"> Australia and New Zealand Banking Group, Commonwealth Bank of Australia, Macquarie Bank, National Australia Bank and Westpac Banking Corporation</w:t>
            </w:r>
            <w:r w:rsidR="006F1761">
              <w:t xml:space="preserve"> – </w:t>
            </w:r>
            <w:r w:rsidRPr="002773A3">
              <w:t>in 2022 and as of 5 December 2024 the design and objectives of the next CVA with Australia’s five largest general insurers is being finalised. The 2022 CVA led to several key insights, including a measurable impact on lending losses that the participating banks are likely to absorb, that climate risk impacts will likely concentrate in specific regions and industries, that banks are adjusting their climate risk appetite and that that there is awareness of the identified risks.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2ECC53D" w:rsidR="00093CA9" w:rsidRDefault="002773A3"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53FD974" w:rsidR="00093CA9" w:rsidRPr="00173D7C" w:rsidRDefault="002773A3"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D936A08" w:rsidR="00093CA9" w:rsidRPr="00173D7C" w:rsidRDefault="002773A3"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27EFC0C" w:rsidR="00093CA9" w:rsidRDefault="003C1083" w:rsidP="00093CA9">
            <w:r w:rsidRPr="001F65AB">
              <w:t>Independent regulatory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BAF4C36" w:rsidR="00093CA9" w:rsidRPr="006B7B0D" w:rsidRDefault="003C1083" w:rsidP="00093CA9">
            <w:r>
              <w:t>Australian Prudential Regulatory Authority (APRA)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DB305F8" w:rsidR="00093CA9" w:rsidRPr="006B7B0D" w:rsidRDefault="002773A3"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2BF0D2C" w:rsidR="00093CA9" w:rsidRPr="006B7B0D" w:rsidRDefault="009903FF" w:rsidP="00093CA9">
            <w:r w:rsidRPr="009903FF">
              <w:t>Australian Banking Association (ABA)</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290DE0DA" w:rsidR="00093CA9" w:rsidRPr="006B7B0D" w:rsidRDefault="009903FF"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5B12631F" w:rsidR="00093CA9" w:rsidRDefault="009213C7"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lastRenderedPageBreak/>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3C1083" w14:paraId="41283FFD" w14:textId="77777777" w:rsidTr="00DD314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3C1083" w:rsidRDefault="00107CE2" w:rsidP="00DD3144">
            <w:pPr>
              <w:rPr>
                <w:lang w:val="fr-FR"/>
              </w:rPr>
            </w:pPr>
            <w:r w:rsidRPr="003C1083">
              <w:rPr>
                <w:lang w:val="fr-FR"/>
              </w:rPr>
              <w:t>Minimum revenue (Enter minimum revenue)</w:t>
            </w:r>
          </w:p>
        </w:tc>
        <w:tc>
          <w:tcPr>
            <w:tcW w:w="4910" w:type="dxa"/>
            <w:gridSpan w:val="7"/>
            <w:shd w:val="clear" w:color="auto" w:fill="auto"/>
            <w:vAlign w:val="center"/>
          </w:tcPr>
          <w:p w14:paraId="2518BD70" w14:textId="77777777" w:rsidR="00524D54" w:rsidRPr="003C1083" w:rsidRDefault="00524D54" w:rsidP="00DD3144">
            <w:pPr>
              <w:rPr>
                <w:lang w:val="fr-FR"/>
              </w:rPr>
            </w:pPr>
          </w:p>
        </w:tc>
      </w:tr>
      <w:tr w:rsidR="00524D54" w:rsidRPr="003C1083"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lastRenderedPageBreak/>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lastRenderedPageBreak/>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lastRenderedPageBreak/>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lastRenderedPageBreak/>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lastRenderedPageBreak/>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lastRenderedPageBreak/>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lastRenderedPageBreak/>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lastRenderedPageBreak/>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lastRenderedPageBreak/>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3C1083"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3C1083" w:rsidRDefault="004F276F" w:rsidP="00C37D48">
            <w:pPr>
              <w:rPr>
                <w:rFonts w:ascii="Calibri" w:hAnsi="Calibri" w:cs="Calibri"/>
                <w:lang w:val="fr-FR"/>
              </w:rPr>
            </w:pPr>
            <w:r w:rsidRPr="003C1083">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3C1083" w:rsidRDefault="004F276F" w:rsidP="00C37D48">
            <w:pPr>
              <w:rPr>
                <w:rFonts w:ascii="Calibri" w:hAnsi="Calibri" w:cs="Calibri"/>
                <w:lang w:val="fr-FR"/>
              </w:rPr>
            </w:pPr>
          </w:p>
        </w:tc>
      </w:tr>
      <w:tr w:rsidR="004F276F" w:rsidRPr="003C1083"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lastRenderedPageBreak/>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lastRenderedPageBreak/>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lastRenderedPageBreak/>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3C1083"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3C1083" w:rsidRDefault="00C66EE0" w:rsidP="00610F28">
            <w:pPr>
              <w:rPr>
                <w:rFonts w:ascii="Calibri" w:hAnsi="Calibri" w:cs="Calibri"/>
                <w:lang w:val="fr-FR"/>
              </w:rPr>
            </w:pPr>
            <w:r w:rsidRPr="003C1083">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3C1083" w:rsidRDefault="00C66EE0" w:rsidP="00610F28">
            <w:pPr>
              <w:rPr>
                <w:rFonts w:ascii="Calibri" w:hAnsi="Calibri" w:cs="Calibri"/>
                <w:lang w:val="fr-FR"/>
              </w:rPr>
            </w:pPr>
          </w:p>
        </w:tc>
      </w:tr>
      <w:tr w:rsidR="00241257" w:rsidRPr="003C1083"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lastRenderedPageBreak/>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lastRenderedPageBreak/>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lastRenderedPageBreak/>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lastRenderedPageBreak/>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lastRenderedPageBreak/>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lastRenderedPageBreak/>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lastRenderedPageBreak/>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lastRenderedPageBreak/>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lastRenderedPageBreak/>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3C1083"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3C1083" w:rsidRDefault="00092534" w:rsidP="00CF2E7C">
            <w:pPr>
              <w:rPr>
                <w:rFonts w:ascii="Calibri" w:hAnsi="Calibri" w:cs="Calibri"/>
                <w:lang w:val="fr-FR"/>
              </w:rPr>
            </w:pPr>
            <w:r w:rsidRPr="003C1083">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3C1083" w:rsidRDefault="00092534" w:rsidP="00CF2E7C">
            <w:pPr>
              <w:rPr>
                <w:rFonts w:ascii="Calibri" w:hAnsi="Calibri" w:cs="Calibri"/>
                <w:lang w:val="fr-FR"/>
              </w:rPr>
            </w:pPr>
          </w:p>
        </w:tc>
      </w:tr>
      <w:tr w:rsidR="00092534" w:rsidRPr="003C1083"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lastRenderedPageBreak/>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lastRenderedPageBreak/>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lastRenderedPageBreak/>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3DA9620B" w:rsidR="00D4323A" w:rsidRPr="00CF2E7C" w:rsidRDefault="002773A3"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262314D1" w:rsidR="00D4323A" w:rsidRPr="00CF2E7C" w:rsidRDefault="002773A3"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17F8C4FA" w:rsidR="00D4323A" w:rsidRPr="00CF2E7C" w:rsidRDefault="002773A3"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2AE26115" w:rsidR="00D4323A" w:rsidRPr="00CF2E7C" w:rsidRDefault="002773A3"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49B31D39" w:rsidR="00D4323A" w:rsidRPr="00CF2E7C" w:rsidRDefault="002773A3"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4EF31" w:rsidR="00D4323A" w:rsidRPr="00CF2E7C" w:rsidRDefault="002773A3"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5C0922AF" w:rsidR="00D4323A" w:rsidRPr="00CF2E7C" w:rsidRDefault="002773A3"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65848563" w:rsidR="00D4323A" w:rsidRPr="00CF2E7C" w:rsidRDefault="002773A3"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27FE23CC" w:rsidR="00D4323A" w:rsidRPr="00CF2E7C" w:rsidRDefault="002773A3"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5BB0141C" w:rsidR="00D4323A" w:rsidRPr="00CF2E7C" w:rsidRDefault="002773A3"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0D006F8F" w:rsidR="00D4323A" w:rsidRPr="00CF2E7C" w:rsidRDefault="002773A3"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64C47E50" w:rsidR="00D4323A" w:rsidRPr="00CF2E7C" w:rsidRDefault="002773A3"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58AA0906"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0E29047F" w:rsidR="00DD292A" w:rsidRPr="00CF2E7C" w:rsidRDefault="002773A3" w:rsidP="00CF2E7C">
            <w:pPr>
              <w:rPr>
                <w:rFonts w:ascii="Calibri" w:hAnsi="Calibri" w:cs="Calibri"/>
              </w:rPr>
            </w:pPr>
            <w:r>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4282623C" w:rsidR="00DD292A" w:rsidRPr="00CF2E7C" w:rsidRDefault="00CF0787" w:rsidP="00CF2E7C">
            <w:pPr>
              <w:rPr>
                <w:rFonts w:ascii="Calibri" w:hAnsi="Calibri" w:cs="Calibri"/>
              </w:rPr>
            </w:pPr>
            <w:r>
              <w:rPr>
                <w:rFonts w:ascii="Calibri" w:hAnsi="Calibri" w:cs="Calibri"/>
              </w:rPr>
              <w:t>X</w:t>
            </w: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5E03166D"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lastRenderedPageBreak/>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3C1083"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lastRenderedPageBreak/>
              <w:t>5.5.2</w:t>
            </w:r>
          </w:p>
        </w:tc>
        <w:tc>
          <w:tcPr>
            <w:tcW w:w="4382" w:type="dxa"/>
            <w:shd w:val="clear" w:color="auto" w:fill="E2EFD9" w:themeFill="accent6" w:themeFillTint="33"/>
            <w:vAlign w:val="center"/>
          </w:tcPr>
          <w:p w14:paraId="071209F8" w14:textId="77777777" w:rsidR="00DD292A" w:rsidRPr="003C1083" w:rsidRDefault="00DD292A" w:rsidP="00CF2E7C">
            <w:pPr>
              <w:rPr>
                <w:rFonts w:ascii="Calibri" w:hAnsi="Calibri" w:cs="Calibri"/>
                <w:lang w:val="fr-FR"/>
              </w:rPr>
            </w:pPr>
            <w:r w:rsidRPr="003C1083">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3C1083" w:rsidRDefault="00DD292A" w:rsidP="00CF2E7C">
            <w:pPr>
              <w:rPr>
                <w:rFonts w:ascii="Calibri" w:hAnsi="Calibri" w:cs="Calibri"/>
                <w:lang w:val="fr-FR"/>
              </w:rPr>
            </w:pPr>
          </w:p>
        </w:tc>
      </w:tr>
      <w:tr w:rsidR="00DD292A" w:rsidRPr="003C1083"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41565F86" w:rsidR="00DD292A" w:rsidRPr="00CF2E7C" w:rsidRDefault="00CF0787" w:rsidP="00CF2E7C">
            <w:pPr>
              <w:rPr>
                <w:rFonts w:ascii="Calibri" w:hAnsi="Calibri" w:cs="Calibri"/>
              </w:rPr>
            </w:pPr>
            <w:r>
              <w:rPr>
                <w:rFonts w:ascii="Calibri" w:hAnsi="Calibri" w:cs="Calibri"/>
              </w:rPr>
              <w:t>Australia's fine largest retail banks and five largest general insurers</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2CEF0D78" w:rsidR="00DD292A" w:rsidRPr="00CF2E7C" w:rsidRDefault="006F1761" w:rsidP="00CF2E7C">
            <w:pPr>
              <w:rPr>
                <w:rFonts w:ascii="Calibri" w:hAnsi="Calibri" w:cs="Calibri"/>
              </w:rPr>
            </w:pPr>
            <w:r>
              <w:rPr>
                <w:rFonts w:ascii="Calibri" w:hAnsi="Calibri" w:cs="Calibri"/>
              </w:rPr>
              <w:t>X</w:t>
            </w: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639411F9" w:rsidR="00DD3B33" w:rsidRPr="00CF2E7C" w:rsidRDefault="00CF0787" w:rsidP="00CF2E7C">
            <w:pPr>
              <w:rPr>
                <w:rFonts w:ascii="Calibri" w:hAnsi="Calibri" w:cs="Calibri"/>
              </w:rPr>
            </w:pPr>
            <w:r>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6F0ADA9E" w:rsidR="00DD292A" w:rsidRPr="00CF2E7C" w:rsidRDefault="00CF0787"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0C4C8805"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6FEB5B7F"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3322037C" w:rsidR="00DD292A" w:rsidRPr="00CF2E7C" w:rsidRDefault="00CF0787"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3AEC78B3" w:rsidR="00410853" w:rsidRPr="00CF2E7C" w:rsidRDefault="00CF078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1CDF3DE7" w:rsidR="00410853" w:rsidRPr="00CF2E7C" w:rsidRDefault="00CF078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6AD52DD2" w:rsidR="00F632FB" w:rsidRPr="00CF2E7C" w:rsidRDefault="00A75A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0F4BD145" w:rsidR="00F632FB" w:rsidRPr="00CF2E7C" w:rsidRDefault="00A75A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AA800D5" w:rsidR="00F632FB" w:rsidRPr="00CF2E7C" w:rsidRDefault="00A75A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552F73DD" w:rsidR="008C4722" w:rsidRPr="00CF2E7C" w:rsidRDefault="00A75A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187CCA11" w:rsidR="008C4722" w:rsidRPr="00CF2E7C" w:rsidRDefault="00A75A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ESG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34A3491" w14:textId="77777777" w:rsidR="003B037D" w:rsidRDefault="00A75A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CVAs </w:t>
            </w:r>
            <w:r w:rsidR="003B037D">
              <w:rPr>
                <w:rFonts w:ascii="Calibri" w:eastAsia="Times New Roman" w:hAnsi="Calibri" w:cs="Calibri"/>
                <w:kern w:val="0"/>
                <w:lang w:eastAsia="en-GB"/>
                <w14:ligatures w14:val="none"/>
              </w:rPr>
              <w:t xml:space="preserve">surveyed Australia's five largest banks' climate-related risk responses and all sections of the Information Paper at web-archived link 2 above are relevant. When designing the CVAs, </w:t>
            </w:r>
            <w:r w:rsidR="003B037D" w:rsidRPr="003B037D">
              <w:rPr>
                <w:rFonts w:ascii="Calibri" w:eastAsia="Times New Roman" w:hAnsi="Calibri" w:cs="Calibri"/>
                <w:kern w:val="0"/>
                <w:lang w:eastAsia="en-GB"/>
                <w14:ligatures w14:val="none"/>
              </w:rPr>
              <w:t xml:space="preserve">APRA had three key objectives related to assessing the nature and extent of financial risks that large banks in Australia may face over the period to 2050 due to climate change. Its three key objectives were: </w:t>
            </w:r>
          </w:p>
          <w:p w14:paraId="3BA3BE73" w14:textId="65F6E067" w:rsidR="003B037D" w:rsidRPr="003B037D" w:rsidRDefault="003B037D" w:rsidP="003B037D">
            <w:pPr>
              <w:pStyle w:val="ListParagraph"/>
              <w:numPr>
                <w:ilvl w:val="0"/>
                <w:numId w:val="50"/>
              </w:numPr>
              <w:textAlignment w:val="baseline"/>
              <w:rPr>
                <w:rFonts w:ascii="Calibri" w:eastAsia="Times New Roman" w:hAnsi="Calibri" w:cs="Calibri"/>
                <w:kern w:val="0"/>
                <w:lang w:eastAsia="en-GB"/>
                <w14:ligatures w14:val="none"/>
              </w:rPr>
            </w:pPr>
            <w:r w:rsidRPr="003B037D">
              <w:rPr>
                <w:rFonts w:ascii="Calibri" w:eastAsia="Times New Roman" w:hAnsi="Calibri" w:cs="Calibri"/>
                <w:kern w:val="0"/>
                <w:lang w:eastAsia="en-GB"/>
                <w14:ligatures w14:val="none"/>
              </w:rPr>
              <w:t xml:space="preserve">measuring the potential financial risks to banks, the financial system and economy posed by both physical and transition climate </w:t>
            </w:r>
            <w:proofErr w:type="gramStart"/>
            <w:r w:rsidRPr="003B037D">
              <w:rPr>
                <w:rFonts w:ascii="Calibri" w:eastAsia="Times New Roman" w:hAnsi="Calibri" w:cs="Calibri"/>
                <w:kern w:val="0"/>
                <w:lang w:eastAsia="en-GB"/>
                <w14:ligatures w14:val="none"/>
              </w:rPr>
              <w:t>risks;</w:t>
            </w:r>
            <w:proofErr w:type="gramEnd"/>
            <w:r w:rsidRPr="003B037D">
              <w:rPr>
                <w:rFonts w:ascii="Calibri" w:eastAsia="Times New Roman" w:hAnsi="Calibri" w:cs="Calibri"/>
                <w:kern w:val="0"/>
                <w:lang w:eastAsia="en-GB"/>
                <w14:ligatures w14:val="none"/>
              </w:rPr>
              <w:t xml:space="preserve"> </w:t>
            </w:r>
          </w:p>
          <w:p w14:paraId="6719E855" w14:textId="77777777" w:rsidR="003B037D" w:rsidRDefault="003B037D" w:rsidP="003B037D">
            <w:pPr>
              <w:pStyle w:val="ListParagraph"/>
              <w:numPr>
                <w:ilvl w:val="0"/>
                <w:numId w:val="50"/>
              </w:numPr>
              <w:textAlignment w:val="baseline"/>
              <w:rPr>
                <w:rFonts w:ascii="Calibri" w:eastAsia="Times New Roman" w:hAnsi="Calibri" w:cs="Calibri"/>
                <w:kern w:val="0"/>
                <w:lang w:eastAsia="en-GB"/>
                <w14:ligatures w14:val="none"/>
              </w:rPr>
            </w:pPr>
            <w:r w:rsidRPr="003B037D">
              <w:rPr>
                <w:rFonts w:ascii="Calibri" w:eastAsia="Times New Roman" w:hAnsi="Calibri" w:cs="Calibri"/>
                <w:kern w:val="0"/>
                <w:lang w:eastAsia="en-GB"/>
                <w14:ligatures w14:val="none"/>
              </w:rPr>
              <w:t xml:space="preserve">understanding how banks may adjust their business models and implement management actions in response to the different scenarios; and </w:t>
            </w:r>
          </w:p>
          <w:p w14:paraId="39FC6AFA" w14:textId="67F2F558" w:rsidR="008C4722" w:rsidRPr="003B037D" w:rsidRDefault="003B037D" w:rsidP="003B037D">
            <w:pPr>
              <w:pStyle w:val="ListParagraph"/>
              <w:numPr>
                <w:ilvl w:val="0"/>
                <w:numId w:val="50"/>
              </w:numPr>
              <w:textAlignment w:val="baseline"/>
              <w:rPr>
                <w:rFonts w:ascii="Calibri" w:eastAsia="Times New Roman" w:hAnsi="Calibri" w:cs="Calibri"/>
                <w:kern w:val="0"/>
                <w:lang w:eastAsia="en-GB"/>
                <w14:ligatures w14:val="none"/>
              </w:rPr>
            </w:pPr>
            <w:r w:rsidRPr="003B037D">
              <w:rPr>
                <w:rFonts w:ascii="Calibri" w:eastAsia="Times New Roman" w:hAnsi="Calibri" w:cs="Calibri"/>
                <w:kern w:val="0"/>
                <w:lang w:eastAsia="en-GB"/>
                <w14:ligatures w14:val="none"/>
              </w:rPr>
              <w:t>improving banks’ climate risk management capabilities</w:t>
            </w:r>
            <w:r>
              <w:rPr>
                <w:rFonts w:ascii="Calibri" w:eastAsia="Times New Roman" w:hAnsi="Calibri" w:cs="Calibri"/>
                <w:kern w:val="0"/>
                <w:lang w:eastAsia="en-GB"/>
                <w14:ligatures w14:val="none"/>
              </w:rPr>
              <w:t>.</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108D30B6" w:rsidR="008C4722" w:rsidRPr="00CF2E7C" w:rsidRDefault="00F94E9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7845C276" w:rsidR="008C4722" w:rsidRPr="00CF2E7C" w:rsidRDefault="00A75A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BCBS is mentioned</w:t>
            </w:r>
            <w:r w:rsidR="003B037D">
              <w:rPr>
                <w:rFonts w:ascii="Calibri" w:eastAsia="Times New Roman" w:hAnsi="Calibri" w:cs="Calibri"/>
                <w:kern w:val="0"/>
                <w:lang w:eastAsia="en-GB"/>
                <w14:ligatures w14:val="none"/>
              </w:rPr>
              <w:t xml:space="preserve"> generally</w:t>
            </w:r>
            <w:r>
              <w:rPr>
                <w:rFonts w:ascii="Calibri" w:eastAsia="Times New Roman" w:hAnsi="Calibri" w:cs="Calibri"/>
                <w:kern w:val="0"/>
                <w:lang w:eastAsia="en-GB"/>
                <w14:ligatures w14:val="none"/>
              </w:rPr>
              <w:t xml:space="preserve"> in the following at page </w:t>
            </w:r>
            <w:proofErr w:type="gramStart"/>
            <w:r>
              <w:rPr>
                <w:rFonts w:ascii="Calibri" w:eastAsia="Times New Roman" w:hAnsi="Calibri" w:cs="Calibri"/>
                <w:kern w:val="0"/>
                <w:lang w:eastAsia="en-GB"/>
                <w14:ligatures w14:val="none"/>
              </w:rPr>
              <w:t>12</w:t>
            </w:r>
            <w:proofErr w:type="gramEnd"/>
            <w:r>
              <w:rPr>
                <w:rFonts w:ascii="Calibri" w:eastAsia="Times New Roman" w:hAnsi="Calibri" w:cs="Calibri"/>
                <w:kern w:val="0"/>
                <w:lang w:eastAsia="en-GB"/>
                <w14:ligatures w14:val="none"/>
              </w:rPr>
              <w:t xml:space="preserve"> but no reference is made to any pillars: '</w:t>
            </w:r>
            <w:r w:rsidRPr="00A75A20">
              <w:rPr>
                <w:rFonts w:ascii="Calibri" w:eastAsia="Times New Roman" w:hAnsi="Calibri" w:cs="Calibri"/>
                <w:kern w:val="0"/>
                <w:lang w:eastAsia="en-GB"/>
                <w14:ligatures w14:val="none"/>
              </w:rPr>
              <w:t>Furthermore, climate scenario analysis is increasingly integrated into international standards and guidance, such as the Basel Committee on Banking Supervision’s (BCBS) Principles for the Effective Management and Supervision of Climate-related Financial Risks. The BCBS principles recommend that banks utilise scenario analysis to assess the resilience of their business models and determine the impact of climate risk drivers on their overall risk profile</w:t>
            </w:r>
            <w:r>
              <w:rPr>
                <w:rFonts w:ascii="Calibri" w:eastAsia="Times New Roman" w:hAnsi="Calibri" w:cs="Calibri"/>
                <w:kern w:val="0"/>
                <w:lang w:eastAsia="en-GB"/>
                <w14:ligatures w14:val="none"/>
              </w:rPr>
              <w:t>'.</w:t>
            </w: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27421E48" w:rsidR="007B7DEE" w:rsidRPr="00CF2E7C" w:rsidRDefault="003B037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2E907BE9" w:rsidR="00ED7E12" w:rsidRPr="00CF2E7C" w:rsidRDefault="003B037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1477D441" w:rsidR="00ED7E12" w:rsidRPr="00CF2E7C" w:rsidRDefault="009903F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3D2DFF2E" w:rsidR="00ED7E12" w:rsidRPr="00CF2E7C" w:rsidRDefault="009903FF" w:rsidP="009903FF">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CVAs were completed independently by the assessed banks, facilitated by the ABA. </w:t>
            </w:r>
            <w:r w:rsidRPr="009903FF">
              <w:rPr>
                <w:rFonts w:ascii="Calibri" w:eastAsia="Times New Roman" w:hAnsi="Calibri" w:cs="Calibri"/>
                <w:kern w:val="0"/>
                <w:lang w:eastAsia="en-GB"/>
                <w14:ligatures w14:val="none"/>
              </w:rPr>
              <w:t>Once the CVA was underway, the ABA facilitated ongoing engagement between APRA and the banks to address design and implementation issues as they arose</w:t>
            </w:r>
            <w:r>
              <w:rPr>
                <w:rFonts w:ascii="Calibri" w:eastAsia="Times New Roman" w:hAnsi="Calibri" w:cs="Calibri"/>
                <w:kern w:val="0"/>
                <w:lang w:eastAsia="en-GB"/>
                <w14:ligatures w14:val="none"/>
              </w:rPr>
              <w:t xml:space="preserve">. The final Information Paper analysing the results of the CVAs was prepared by APRA. </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4E74D81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845F0">
              <w:rPr>
                <w:rFonts w:ascii="Calibri" w:eastAsia="Times New Roman" w:hAnsi="Calibri" w:cs="Calibri"/>
                <w:kern w:val="0"/>
                <w:lang w:eastAsia="en-GB"/>
                <w14:ligatures w14:val="none"/>
              </w:rPr>
              <w:t>X</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39318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845F0">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6D16B2B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845F0">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1AD39B7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845F0">
              <w:rPr>
                <w:rFonts w:ascii="Calibri" w:eastAsia="Times New Roman" w:hAnsi="Calibri" w:cs="Calibri"/>
                <w:kern w:val="0"/>
                <w:lang w:eastAsia="en-GB"/>
                <w14:ligatures w14:val="none"/>
              </w:rPr>
              <w:t>X</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42FFA42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845F0">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6449656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845F0">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3B24FF23" w:rsidR="00A80131" w:rsidRPr="00CF2E7C" w:rsidRDefault="004845F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We note the CVA does not recommend or require APRA regulated entities to implement the items marked 'recommended' above, rather, it assessed their prevalence and effectiveness. </w:t>
            </w: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6EC3F635" w:rsidR="00C82860" w:rsidRPr="00CF2E7C" w:rsidRDefault="004845F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16E30F2D" w:rsidR="00C82860" w:rsidRPr="00CF2E7C" w:rsidRDefault="004B168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431E1C6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75350C2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4B1685">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0C5C11A8"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0F207230"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4B1685">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1B54D38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4B1685">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2044D99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4B1685">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0B508F76" w:rsidR="00C82860" w:rsidRPr="00CF2E7C" w:rsidRDefault="004B168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Some of the surveyed banks accounted for geographical risks in risk assessment but this was not broken down into physical and transition risk, rather it focused on product specific risks, </w:t>
            </w:r>
            <w:proofErr w:type="spellStart"/>
            <w:r>
              <w:rPr>
                <w:rFonts w:ascii="Calibri" w:eastAsia="Times New Roman" w:hAnsi="Calibri" w:cs="Calibri"/>
                <w:kern w:val="0"/>
                <w:lang w:eastAsia="en-GB"/>
                <w14:ligatures w14:val="none"/>
              </w:rPr>
              <w:t>ie</w:t>
            </w:r>
            <w:proofErr w:type="spellEnd"/>
            <w:r>
              <w:rPr>
                <w:rFonts w:ascii="Calibri" w:eastAsia="Times New Roman" w:hAnsi="Calibri" w:cs="Calibri"/>
                <w:kern w:val="0"/>
                <w:lang w:eastAsia="en-GB"/>
                <w14:ligatures w14:val="none"/>
              </w:rPr>
              <w:t xml:space="preserve"> lending losses resulting from climate change impacts influenced by geographical factors. Economic sector exposure was mentioned but not considered in depth. </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46B3AC44" w:rsidR="00655FF7" w:rsidRPr="00CF2E7C" w:rsidRDefault="006274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75E47575" w:rsidR="003032A9" w:rsidRPr="00CF2E7C" w:rsidRDefault="006274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87AF1A7" w:rsidR="003D5104" w:rsidRPr="00CF2E7C" w:rsidRDefault="006274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E141CC6" w14:textId="77777777" w:rsidR="00627448" w:rsidRDefault="00627448" w:rsidP="00CF2E7C">
            <w:pPr>
              <w:textAlignment w:val="baseline"/>
              <w:rPr>
                <w:rFonts w:ascii="Calibri" w:eastAsia="Times New Roman" w:hAnsi="Calibri" w:cs="Calibri"/>
                <w:kern w:val="0"/>
                <w:lang w:eastAsia="en-GB"/>
                <w14:ligatures w14:val="none"/>
              </w:rPr>
            </w:pPr>
            <w:r w:rsidRPr="00627448">
              <w:rPr>
                <w:rFonts w:ascii="Calibri" w:eastAsia="Times New Roman" w:hAnsi="Calibri" w:cs="Calibri"/>
                <w:kern w:val="0"/>
                <w:lang w:eastAsia="en-GB"/>
                <w14:ligatures w14:val="none"/>
              </w:rPr>
              <w:t xml:space="preserve">Two different future climate scenarios, aligned to the internationally recognised scenarios developed by the Network for Greening the Financial System (NGFS), were used in the CVA: </w:t>
            </w:r>
          </w:p>
          <w:p w14:paraId="3C5DDF91" w14:textId="77777777" w:rsidR="00627448" w:rsidRDefault="00627448" w:rsidP="00627448">
            <w:pPr>
              <w:pStyle w:val="ListParagraph"/>
              <w:numPr>
                <w:ilvl w:val="0"/>
                <w:numId w:val="51"/>
              </w:numPr>
              <w:textAlignment w:val="baseline"/>
              <w:rPr>
                <w:rFonts w:ascii="Calibri" w:eastAsia="Times New Roman" w:hAnsi="Calibri" w:cs="Calibri"/>
                <w:kern w:val="0"/>
                <w:lang w:eastAsia="en-GB"/>
                <w14:ligatures w14:val="none"/>
              </w:rPr>
            </w:pPr>
            <w:r w:rsidRPr="00627448">
              <w:rPr>
                <w:rFonts w:ascii="Calibri" w:eastAsia="Times New Roman" w:hAnsi="Calibri" w:cs="Calibri"/>
                <w:kern w:val="0"/>
                <w:lang w:eastAsia="en-GB"/>
                <w14:ligatures w14:val="none"/>
              </w:rPr>
              <w:t xml:space="preserve">a Delayed Transition Scenario: which explores a future with delayed policy action on climate change, followed by a rapid reduction in global emissions after 2030; and </w:t>
            </w:r>
          </w:p>
          <w:p w14:paraId="61111CBE" w14:textId="26CDB322" w:rsidR="003D5104" w:rsidRPr="00627448" w:rsidRDefault="00627448" w:rsidP="00627448">
            <w:pPr>
              <w:pStyle w:val="ListParagraph"/>
              <w:numPr>
                <w:ilvl w:val="0"/>
                <w:numId w:val="51"/>
              </w:numPr>
              <w:textAlignment w:val="baseline"/>
              <w:rPr>
                <w:rFonts w:ascii="Calibri" w:eastAsia="Times New Roman" w:hAnsi="Calibri" w:cs="Calibri"/>
                <w:kern w:val="0"/>
                <w:lang w:eastAsia="en-GB"/>
                <w14:ligatures w14:val="none"/>
              </w:rPr>
            </w:pPr>
            <w:r w:rsidRPr="00627448">
              <w:rPr>
                <w:rFonts w:ascii="Calibri" w:eastAsia="Times New Roman" w:hAnsi="Calibri" w:cs="Calibri"/>
                <w:kern w:val="0"/>
                <w:lang w:eastAsia="en-GB"/>
                <w14:ligatures w14:val="none"/>
              </w:rPr>
              <w:t>a Current Policies Scenario: which explores a future with continued increase in global emissions beyond 2050.</w:t>
            </w: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8568AB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27448">
              <w:rPr>
                <w:rFonts w:ascii="Calibri" w:eastAsia="Times New Roman" w:hAnsi="Calibri" w:cs="Calibri"/>
                <w:kern w:val="0"/>
                <w:lang w:val="en-SG" w:eastAsia="en-GB"/>
                <w14:ligatures w14:val="none"/>
              </w:rPr>
              <w:t>X</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3ABCE0EE" w:rsidR="00BE1F9E" w:rsidRPr="00CF2E7C" w:rsidRDefault="006274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See part 1.1; these scenarios were selected because </w:t>
            </w:r>
            <w:r w:rsidRPr="00627448">
              <w:rPr>
                <w:rFonts w:ascii="Calibri" w:eastAsia="Times New Roman" w:hAnsi="Calibri" w:cs="Calibri"/>
                <w:kern w:val="0"/>
                <w:lang w:eastAsia="en-GB"/>
                <w14:ligatures w14:val="none"/>
              </w:rPr>
              <w:t>they are valuable for understanding the financial impacts that may flow from different future climate pathways, and for understanding how the banks and other stakeholders may respond to markedly different future climate paths</w:t>
            </w:r>
            <w:r>
              <w:rPr>
                <w:rFonts w:ascii="Calibri" w:eastAsia="Times New Roman" w:hAnsi="Calibri" w:cs="Calibri"/>
                <w:kern w:val="0"/>
                <w:lang w:eastAsia="en-GB"/>
                <w14:ligatures w14:val="none"/>
              </w:rPr>
              <w:t xml:space="preserve">. </w:t>
            </w: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7B0DCBF2" w:rsidR="00DC31BF" w:rsidRPr="00CF2E7C" w:rsidRDefault="006274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2F66E714" w:rsidR="0098226E" w:rsidRPr="00CF2E7C" w:rsidRDefault="006274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0C5837F2"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19BBAB88" w:rsidR="00F10A6E" w:rsidRPr="00CF2E7C" w:rsidRDefault="006274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3487659F"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36F6C8F0" w:rsidR="00F26296" w:rsidRPr="00CF2E7C" w:rsidRDefault="006274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72C246" w:rsidR="00F26296" w:rsidRPr="00CF2E7C" w:rsidRDefault="006274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scenario analysis was solely a data-gathering tool for the CVA but resulted in APRA making general comments and recommendations in the Information Paper.</w:t>
            </w: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3993E9B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27448">
              <w:rPr>
                <w:rFonts w:ascii="Calibri" w:eastAsia="Times New Roman" w:hAnsi="Calibri" w:cs="Calibri"/>
                <w:kern w:val="0"/>
                <w:lang w:eastAsia="en-GB"/>
                <w14:ligatures w14:val="none"/>
              </w:rPr>
              <w:t>X</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A792B93" w:rsidR="00F26296" w:rsidRPr="00CF2E7C" w:rsidRDefault="006274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r w:rsidR="00F26296" w:rsidRPr="00CF2E7C">
              <w:rPr>
                <w:rFonts w:ascii="Calibri" w:eastAsia="Times New Roman" w:hAnsi="Calibri" w:cs="Calibri"/>
                <w:kern w:val="0"/>
                <w:lang w:val="en-SG" w:eastAsia="en-GB"/>
                <w14:ligatures w14:val="none"/>
              </w:rPr>
              <w:t> </w:t>
            </w:r>
            <w:r w:rsidR="00F26296"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58DA109D" w:rsidR="00F26296" w:rsidRPr="00CF2E7C" w:rsidRDefault="00F94E9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0FD0DED1"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94E95">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3F7B5F8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94E95">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344FFC39" w:rsidR="00B114FD" w:rsidRPr="00CF2E7C" w:rsidRDefault="00F94E9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561A1AA0" w:rsidR="00B114FD" w:rsidRPr="00CF2E7C" w:rsidRDefault="00F94E9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1589A569" w:rsidR="00FE0EA5" w:rsidRPr="009C4D10" w:rsidRDefault="00FE0EA5" w:rsidP="00CF2E7C">
            <w:pPr>
              <w:rPr>
                <w:rFonts w:cstheme="minorHAnsi"/>
              </w:rPr>
            </w:pPr>
            <w:r w:rsidRPr="009C4D10">
              <w:rPr>
                <w:rFonts w:cstheme="minorHAnsi"/>
                <w:lang w:val="en-SG"/>
              </w:rPr>
              <w:t> </w:t>
            </w:r>
            <w:r w:rsidRPr="009C4D10">
              <w:rPr>
                <w:rFonts w:cstheme="minorHAnsi"/>
              </w:rPr>
              <w:t> </w:t>
            </w:r>
            <w:r w:rsidR="00627448">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5C9B5C20" w:rsidR="00FE0EA5" w:rsidRPr="009C4D10" w:rsidRDefault="00FE0EA5" w:rsidP="00CF2E7C">
            <w:pPr>
              <w:rPr>
                <w:rFonts w:cstheme="minorHAnsi"/>
              </w:rPr>
            </w:pPr>
            <w:r w:rsidRPr="009C4D10">
              <w:rPr>
                <w:rFonts w:cstheme="minorHAnsi"/>
                <w:lang w:val="en-SG"/>
              </w:rPr>
              <w:t> </w:t>
            </w:r>
            <w:r w:rsidRPr="009C4D10">
              <w:rPr>
                <w:rFonts w:cstheme="minorHAnsi"/>
              </w:rPr>
              <w:t> </w:t>
            </w:r>
            <w:r w:rsidR="00627448">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Institute (</w:t>
              </w:r>
              <w:proofErr w:type="spellStart"/>
              <w:r w:rsidRPr="009C4D10">
                <w:rPr>
                  <w:rStyle w:val="Hyperlink"/>
                  <w:rFonts w:cstheme="minorHAnsi"/>
                </w:rPr>
                <w:t>FSI</w:t>
              </w:r>
              <w:proofErr w:type="spellEnd"/>
              <w:r w:rsidRPr="009C4D10">
                <w:rPr>
                  <w:rStyle w:val="Hyperli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4F2A0D31" w:rsidR="00FE0EA5" w:rsidRPr="009C4D10" w:rsidRDefault="00FE0EA5" w:rsidP="00CF2E7C">
            <w:pPr>
              <w:rPr>
                <w:rFonts w:cstheme="minorHAnsi"/>
              </w:rPr>
            </w:pPr>
            <w:r w:rsidRPr="009C4D10">
              <w:rPr>
                <w:rFonts w:cstheme="minorHAnsi"/>
                <w:lang w:val="en-SG"/>
              </w:rPr>
              <w:t> </w:t>
            </w:r>
            <w:r w:rsidRPr="009C4D10">
              <w:rPr>
                <w:rFonts w:cstheme="minorHAnsi"/>
              </w:rPr>
              <w:t> </w:t>
            </w:r>
            <w:r w:rsidR="00627448">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4"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1B48FB47" w:rsidR="00FE0EA5" w:rsidRPr="009C4D10" w:rsidRDefault="00FE0EA5" w:rsidP="00CF2E7C">
            <w:pPr>
              <w:rPr>
                <w:rFonts w:cstheme="minorHAnsi"/>
              </w:rPr>
            </w:pPr>
            <w:r w:rsidRPr="009C4D10">
              <w:rPr>
                <w:rFonts w:cstheme="minorHAnsi"/>
                <w:lang w:val="en-SG"/>
              </w:rPr>
              <w:t> </w:t>
            </w:r>
            <w:r w:rsidRPr="009C4D10">
              <w:rPr>
                <w:rFonts w:cstheme="minorHAnsi"/>
              </w:rPr>
              <w:t> </w:t>
            </w:r>
            <w:r w:rsidR="00627448">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lastRenderedPageBreak/>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59DC8A8A" w:rsidR="00FE0EA5" w:rsidRPr="009C4D10" w:rsidRDefault="00FE0EA5" w:rsidP="00CF2E7C">
            <w:pPr>
              <w:rPr>
                <w:rFonts w:cstheme="minorHAnsi"/>
              </w:rPr>
            </w:pPr>
            <w:r w:rsidRPr="009C4D10">
              <w:rPr>
                <w:rFonts w:cstheme="minorHAnsi"/>
                <w:lang w:val="en-SG"/>
              </w:rPr>
              <w:t> </w:t>
            </w:r>
            <w:r w:rsidRPr="009C4D10">
              <w:rPr>
                <w:rFonts w:cstheme="minorHAnsi"/>
              </w:rPr>
              <w:t> </w:t>
            </w:r>
            <w:r w:rsidR="00627448">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CBBAF5D" w:rsidR="00FE0EA5" w:rsidRPr="009C4D10" w:rsidRDefault="00FE0EA5" w:rsidP="00CF2E7C">
            <w:pPr>
              <w:rPr>
                <w:rFonts w:cstheme="minorHAnsi"/>
              </w:rPr>
            </w:pPr>
            <w:r w:rsidRPr="009C4D10">
              <w:rPr>
                <w:rFonts w:cstheme="minorHAnsi"/>
              </w:rPr>
              <w:t>  </w:t>
            </w:r>
            <w:r w:rsidR="00627448">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34F22AB8" w:rsidR="00C01AF9" w:rsidRPr="009C4D10" w:rsidRDefault="00627448" w:rsidP="00CF2E7C">
            <w:pPr>
              <w:rPr>
                <w:rFonts w:cstheme="minorHAnsi"/>
              </w:rPr>
            </w:pPr>
            <w:r>
              <w:rPr>
                <w:rFonts w:cstheme="minorHAnsi"/>
              </w:rPr>
              <w:t xml:space="preserve">The CVA was a data-gathering </w:t>
            </w:r>
            <w:proofErr w:type="gramStart"/>
            <w:r>
              <w:rPr>
                <w:rFonts w:cstheme="minorHAnsi"/>
              </w:rPr>
              <w:t>exercise</w:t>
            </w:r>
            <w:proofErr w:type="gramEnd"/>
            <w:r>
              <w:rPr>
                <w:rFonts w:cstheme="minorHAnsi"/>
              </w:rPr>
              <w:t xml:space="preserve"> so recommendations of this nature were not made. </w:t>
            </w: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3C1083"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3C1083" w:rsidRDefault="002F0752" w:rsidP="00CF2E7C">
            <w:pPr>
              <w:rPr>
                <w:rFonts w:ascii="Calibri" w:hAnsi="Calibri" w:cs="Calibri"/>
                <w:lang w:val="fr-FR"/>
              </w:rPr>
            </w:pPr>
            <w:r w:rsidRPr="003C1083">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3C1083" w:rsidRDefault="002F0752" w:rsidP="00CF2E7C">
            <w:pPr>
              <w:rPr>
                <w:rFonts w:ascii="Calibri" w:hAnsi="Calibri" w:cs="Calibri"/>
                <w:lang w:val="fr-FR"/>
              </w:rPr>
            </w:pPr>
          </w:p>
        </w:tc>
      </w:tr>
      <w:tr w:rsidR="002F0752" w:rsidRPr="003C108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lastRenderedPageBreak/>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proofErr w:type="spellStart"/>
      <w:r w:rsidRPr="26567C6B">
        <w:rPr>
          <w:rFonts w:eastAsia="Arial"/>
        </w:rPr>
        <w:t>LDAR</w:t>
      </w:r>
      <w:proofErr w:type="spellEnd"/>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proofErr w:type="spellStart"/>
            <w:r w:rsidRPr="00CF2E7C">
              <w:rPr>
                <w:rFonts w:ascii="Calibri" w:eastAsia="Calibri" w:hAnsi="Calibri" w:cs="Calibri"/>
                <w:b/>
                <w:bCs/>
                <w:color w:val="7030A0"/>
              </w:rPr>
              <w:t>LDAR</w:t>
            </w:r>
            <w:proofErr w:type="spellEnd"/>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proofErr w:type="spellStart"/>
            <w:r w:rsidR="04931AA5" w:rsidRPr="00CF2E7C">
              <w:rPr>
                <w:rFonts w:ascii="Calibri" w:eastAsia="Calibri" w:hAnsi="Calibri" w:cs="Calibri"/>
                <w:b/>
                <w:bCs/>
                <w:color w:val="7030A0"/>
              </w:rPr>
              <w:t>LDAR</w:t>
            </w:r>
            <w:proofErr w:type="spellEnd"/>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proofErr w:type="spellStart"/>
            <w:r w:rsidR="66272D1A" w:rsidRPr="00CF2E7C">
              <w:rPr>
                <w:rFonts w:ascii="Calibri" w:eastAsia="Calibri" w:hAnsi="Calibri" w:cs="Calibri"/>
                <w:b/>
                <w:color w:val="7030A0"/>
              </w:rPr>
              <w:t>LDAR</w:t>
            </w:r>
            <w:proofErr w:type="spellEnd"/>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proofErr w:type="spellStart"/>
            <w:r w:rsidR="3675C8BF" w:rsidRPr="00CF2E7C">
              <w:rPr>
                <w:rFonts w:ascii="Calibri" w:eastAsia="Calibri" w:hAnsi="Calibri" w:cs="Calibri"/>
                <w:b/>
                <w:color w:val="7030A0"/>
              </w:rPr>
              <w:t>LDAR</w:t>
            </w:r>
            <w:proofErr w:type="spellEnd"/>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lastRenderedPageBreak/>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lastRenderedPageBreak/>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BE032C">
      <w:headerReference w:type="default" r:id="rId2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0E8CE1" w14:textId="77777777" w:rsidR="00710451" w:rsidRDefault="00710451" w:rsidP="00874E39">
      <w:r>
        <w:separator/>
      </w:r>
    </w:p>
  </w:endnote>
  <w:endnote w:type="continuationSeparator" w:id="0">
    <w:p w14:paraId="060AB089" w14:textId="77777777" w:rsidR="00710451" w:rsidRDefault="00710451" w:rsidP="00874E39">
      <w:r>
        <w:continuationSeparator/>
      </w:r>
    </w:p>
  </w:endnote>
  <w:endnote w:type="continuationNotice" w:id="1">
    <w:p w14:paraId="57B1DC62" w14:textId="77777777" w:rsidR="00710451" w:rsidRDefault="0071045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6D60A486" w:rsidR="00874E39" w:rsidRDefault="007B08CE" w:rsidP="00874E39">
    <w:pPr>
      <w:pStyle w:val="Footer"/>
      <w:ind w:right="360"/>
    </w:pPr>
    <w:fldSimple w:instr=" DOCPROPERTY DocumentID \* MERGEFORMAT ">
      <w:r w:rsidRPr="007B08CE">
        <w:rPr>
          <w:color w:val="191919"/>
          <w:sz w:val="13"/>
        </w:rPr>
        <w:t>ME_954005908_2</w:t>
      </w:r>
    </w:fldSimple>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p w14:paraId="4DF03D6C" w14:textId="4C0F1F75" w:rsidR="002773A3" w:rsidRDefault="007B08CE" w:rsidP="00874E39">
    <w:pPr>
      <w:pStyle w:val="Footer"/>
      <w:ind w:right="360"/>
    </w:pPr>
    <w:fldSimple w:instr=" DOCPROPERTY DocumentID \* MERGEFORMAT ">
      <w:r w:rsidRPr="007B08CE">
        <w:rPr>
          <w:color w:val="191919"/>
          <w:sz w:val="13"/>
        </w:rPr>
        <w:t>ME_954005908_2</w:t>
      </w:r>
    </w:fldSimple>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B0EEEFC"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p w14:paraId="17B435CA" w14:textId="1E193E42" w:rsidR="002773A3" w:rsidRPr="004C3A52" w:rsidRDefault="007B08CE" w:rsidP="004C3A52">
    <w:pPr>
      <w:pStyle w:val="Footer"/>
      <w:jc w:val="right"/>
      <w:rPr>
        <w:b/>
        <w:bCs/>
        <w:color w:val="18233F"/>
        <w:sz w:val="32"/>
        <w:szCs w:val="32"/>
      </w:rPr>
    </w:pPr>
    <w:r>
      <w:rPr>
        <w:b/>
        <w:bCs/>
        <w:color w:val="18233F"/>
        <w:sz w:val="32"/>
        <w:szCs w:val="32"/>
      </w:rPr>
      <w:fldChar w:fldCharType="begin"/>
    </w:r>
    <w:r>
      <w:rPr>
        <w:b/>
        <w:bCs/>
        <w:color w:val="18233F"/>
        <w:sz w:val="32"/>
        <w:szCs w:val="32"/>
      </w:rPr>
      <w:instrText xml:space="preserve"> DOCPROPERTY DocumentID \* MERGEFORMAT </w:instrText>
    </w:r>
    <w:r>
      <w:rPr>
        <w:b/>
        <w:bCs/>
        <w:color w:val="18233F"/>
        <w:sz w:val="32"/>
        <w:szCs w:val="32"/>
      </w:rPr>
      <w:fldChar w:fldCharType="separate"/>
    </w:r>
    <w:r w:rsidRPr="007B08CE">
      <w:rPr>
        <w:b/>
        <w:bCs/>
        <w:color w:val="191919"/>
        <w:sz w:val="13"/>
        <w:szCs w:val="32"/>
      </w:rPr>
      <w:t>ME_954005908_2</w:t>
    </w:r>
    <w:r>
      <w:rPr>
        <w:b/>
        <w:bCs/>
        <w:color w:val="18233F"/>
        <w:sz w:val="32"/>
        <w:szCs w:val="3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B490876" w14:textId="77777777" w:rsidR="00710451" w:rsidRDefault="00710451" w:rsidP="00874E39">
      <w:r>
        <w:separator/>
      </w:r>
    </w:p>
  </w:footnote>
  <w:footnote w:type="continuationSeparator" w:id="0">
    <w:p w14:paraId="6C89431B" w14:textId="77777777" w:rsidR="00710451" w:rsidRDefault="00710451" w:rsidP="00874E39">
      <w:r>
        <w:continuationSeparator/>
      </w:r>
    </w:p>
  </w:footnote>
  <w:footnote w:type="continuationNotice" w:id="1">
    <w:p w14:paraId="7FBCA471" w14:textId="77777777" w:rsidR="00710451" w:rsidRDefault="0071045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ADA0E1" w14:textId="77777777" w:rsidR="002773A3" w:rsidRDefault="002773A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7B7918" w14:textId="77777777" w:rsidR="002773A3" w:rsidRDefault="002773A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1E53B85"/>
    <w:multiLevelType w:val="hybridMultilevel"/>
    <w:tmpl w:val="5C1C070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081735A"/>
    <w:multiLevelType w:val="hybridMultilevel"/>
    <w:tmpl w:val="859C2F5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3" w15:restartNumberingAfterBreak="0">
    <w:nsid w:val="6691273B"/>
    <w:multiLevelType w:val="hybridMultilevel"/>
    <w:tmpl w:val="66C655D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4"/>
  </w:num>
  <w:num w:numId="4" w16cid:durableId="1689330127">
    <w:abstractNumId w:val="1"/>
  </w:num>
  <w:num w:numId="5" w16cid:durableId="401291788">
    <w:abstractNumId w:val="29"/>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50"/>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5"/>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7"/>
  </w:num>
  <w:num w:numId="25" w16cid:durableId="1659531047">
    <w:abstractNumId w:val="46"/>
  </w:num>
  <w:num w:numId="26" w16cid:durableId="752774403">
    <w:abstractNumId w:val="22"/>
  </w:num>
  <w:num w:numId="27" w16cid:durableId="347872198">
    <w:abstractNumId w:val="6"/>
  </w:num>
  <w:num w:numId="28" w16cid:durableId="537133110">
    <w:abstractNumId w:val="12"/>
  </w:num>
  <w:num w:numId="29" w16cid:durableId="1632318729">
    <w:abstractNumId w:val="48"/>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9"/>
  </w:num>
  <w:num w:numId="47" w16cid:durableId="342588554">
    <w:abstractNumId w:val="26"/>
  </w:num>
  <w:num w:numId="48" w16cid:durableId="318391343">
    <w:abstractNumId w:val="37"/>
  </w:num>
  <w:num w:numId="49" w16cid:durableId="58942799">
    <w:abstractNumId w:val="43"/>
  </w:num>
  <w:num w:numId="50" w16cid:durableId="430441713">
    <w:abstractNumId w:val="42"/>
  </w:num>
  <w:num w:numId="51" w16cid:durableId="875119001">
    <w:abstractNumId w:val="2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7"/>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1C0F"/>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553"/>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10CF"/>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65AB"/>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3A3"/>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0C15"/>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5F99"/>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37D"/>
    <w:rsid w:val="003B0628"/>
    <w:rsid w:val="003B3C0F"/>
    <w:rsid w:val="003B4DD6"/>
    <w:rsid w:val="003B4F81"/>
    <w:rsid w:val="003B539A"/>
    <w:rsid w:val="003B5B6C"/>
    <w:rsid w:val="003B66F6"/>
    <w:rsid w:val="003B7854"/>
    <w:rsid w:val="003C1083"/>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5F0"/>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685"/>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5E60"/>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B2D"/>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4F14"/>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27448"/>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1761"/>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0451"/>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08CE"/>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16C3"/>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3F91"/>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17DF4"/>
    <w:rsid w:val="00920154"/>
    <w:rsid w:val="00921319"/>
    <w:rsid w:val="00921386"/>
    <w:rsid w:val="009213C7"/>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03FF"/>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5A20"/>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D03"/>
    <w:rsid w:val="00AB4F2C"/>
    <w:rsid w:val="00AB50EB"/>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32C"/>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323C"/>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787"/>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70D"/>
    <w:rsid w:val="00E70A6A"/>
    <w:rsid w:val="00E71E7C"/>
    <w:rsid w:val="00E727D2"/>
    <w:rsid w:val="00E73270"/>
    <w:rsid w:val="00E7355A"/>
    <w:rsid w:val="00E73663"/>
    <w:rsid w:val="00E738CA"/>
    <w:rsid w:val="00E7486E"/>
    <w:rsid w:val="00E75B8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66207"/>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E95"/>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9291770">
      <w:bodyDiv w:val="1"/>
      <w:marLeft w:val="0"/>
      <w:marRight w:val="0"/>
      <w:marTop w:val="0"/>
      <w:marBottom w:val="0"/>
      <w:divBdr>
        <w:top w:val="none" w:sz="0" w:space="0" w:color="auto"/>
        <w:left w:val="none" w:sz="0" w:space="0" w:color="auto"/>
        <w:bottom w:val="none" w:sz="0" w:space="0" w:color="auto"/>
        <w:right w:val="none" w:sz="0" w:space="0" w:color="auto"/>
      </w:divBdr>
      <w:divsChild>
        <w:div w:id="1881162260">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web.archive.org/web/20250529045759/https:/www.apra.gov.au/news-and-publications/apra-releases-details-on-insurance-climate-vulnerability-assessment"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apra.gov.au/sites/default/files/2022-11/Information%20Paper%20-%20Climate%20Vulnerability%20Assessment%20Results.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fsb.org/uploads/P131022-1.pdf"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ww.bis.org/fsi/fsibriefs18.pdf" TargetMode="External"/><Relationship Id="rId10" Type="http://schemas.openxmlformats.org/officeDocument/2006/relationships/endnotes" Target="endnotes.xml"/><Relationship Id="rId19" Type="http://schemas.openxmlformats.org/officeDocument/2006/relationships/hyperlink" Target="https://web.archive.org/web/20250529045441/https:/www.apra.gov.au/climate-vulnerability-assessment-november-2022"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eb.archive.org/web/20250529050505/https:/www.apra.gov.au/apra%E2%80%99s-response-to-climate-related-financial-risks"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113</Pages>
  <Words>23644</Words>
  <Characters>126737</Characters>
  <Application>Microsoft Office Word</Application>
  <DocSecurity>0</DocSecurity>
  <Lines>3520</Lines>
  <Paragraphs>1879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148502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MinterEllison</cp:lastModifiedBy>
  <cp:revision>7</cp:revision>
  <cp:lastPrinted>2025-03-21T00:14:00Z</cp:lastPrinted>
  <dcterms:created xsi:type="dcterms:W3CDTF">2025-07-22T00:28:00Z</dcterms:created>
  <dcterms:modified xsi:type="dcterms:W3CDTF">2025-07-22T00:32:00Z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FooterType">
    <vt:lpwstr>1</vt:lpwstr>
  </property>
  <property fmtid="{D5CDD505-2E9C-101B-9397-08002B2CF9AE}" pid="5" name="DocumentID">
    <vt:lpwstr>ME_954005908_2</vt:lpwstr>
  </property>
  <property fmtid="{D5CDD505-2E9C-101B-9397-08002B2CF9AE}" pid="6" name="Custom1">
    <vt:lpwstr>1543559</vt:lpwstr>
  </property>
</Properties>
</file>